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FAEEB" w14:textId="10D72705" w:rsidR="002813FE" w:rsidRDefault="001D1E96" w:rsidP="001D1E96">
      <w:pPr>
        <w:jc w:val="center"/>
        <w:rPr>
          <w:b/>
          <w:bCs/>
          <w:lang w:val="en-US"/>
        </w:rPr>
      </w:pPr>
      <w:r>
        <w:rPr>
          <w:b/>
          <w:bCs/>
          <w:lang w:val="en-US"/>
        </w:rPr>
        <w:t xml:space="preserve">STOCKTON COAL MINING LICENCE </w:t>
      </w:r>
      <w:r w:rsidR="00F765F6">
        <w:rPr>
          <w:b/>
          <w:bCs/>
          <w:lang w:val="en-US"/>
        </w:rPr>
        <w:t>and ANCILLARY COAL MINING LICENCES</w:t>
      </w:r>
    </w:p>
    <w:p w14:paraId="2900AC3B" w14:textId="01202F3C" w:rsidR="00AB3520" w:rsidRDefault="00AB3520" w:rsidP="001D1E96">
      <w:pPr>
        <w:jc w:val="center"/>
        <w:rPr>
          <w:b/>
          <w:bCs/>
          <w:lang w:val="en-US"/>
        </w:rPr>
      </w:pPr>
      <w:r>
        <w:rPr>
          <w:b/>
          <w:bCs/>
          <w:lang w:val="en-US"/>
        </w:rPr>
        <w:t>SULLIVAN COAL MINING LICENCE AND ANCILLARY MINING LICENCES</w:t>
      </w:r>
    </w:p>
    <w:p w14:paraId="4AC0BA62" w14:textId="6656C02C" w:rsidR="00AB3520" w:rsidRDefault="00AB3520" w:rsidP="001D1E96">
      <w:pPr>
        <w:jc w:val="center"/>
        <w:rPr>
          <w:b/>
          <w:bCs/>
          <w:lang w:val="en-US"/>
        </w:rPr>
      </w:pPr>
      <w:r>
        <w:rPr>
          <w:b/>
          <w:bCs/>
          <w:lang w:val="en-US"/>
        </w:rPr>
        <w:t>UPPER WAIMANGAROA ACCESS ARRANGEMENT</w:t>
      </w:r>
      <w:r w:rsidR="00EF3418">
        <w:rPr>
          <w:b/>
          <w:bCs/>
          <w:lang w:val="en-US"/>
        </w:rPr>
        <w:t>S</w:t>
      </w:r>
    </w:p>
    <w:p w14:paraId="311C3236" w14:textId="6BE15D64" w:rsidR="001D1E96" w:rsidRDefault="000E4600" w:rsidP="001D1E96">
      <w:pPr>
        <w:jc w:val="center"/>
        <w:rPr>
          <w:b/>
          <w:bCs/>
          <w:lang w:val="en-US"/>
        </w:rPr>
      </w:pPr>
      <w:r>
        <w:rPr>
          <w:b/>
          <w:bCs/>
          <w:lang w:val="en-US"/>
        </w:rPr>
        <w:t>Mar 2022</w:t>
      </w:r>
      <w:r w:rsidR="001D1E96">
        <w:rPr>
          <w:b/>
          <w:bCs/>
          <w:lang w:val="en-US"/>
        </w:rPr>
        <w:t xml:space="preserve"> </w:t>
      </w:r>
    </w:p>
    <w:p w14:paraId="15142075" w14:textId="402DE8DE" w:rsidR="001D1E96" w:rsidRDefault="001D1E96" w:rsidP="001D1E96">
      <w:pPr>
        <w:jc w:val="center"/>
        <w:rPr>
          <w:b/>
          <w:bCs/>
          <w:lang w:val="en-US"/>
        </w:rPr>
      </w:pPr>
    </w:p>
    <w:p w14:paraId="5CCE0F29" w14:textId="56D23E25" w:rsidR="00AB3520" w:rsidRDefault="00AB3520" w:rsidP="001D1E96">
      <w:pPr>
        <w:jc w:val="both"/>
        <w:rPr>
          <w:b/>
          <w:bCs/>
          <w:lang w:val="en-US"/>
        </w:rPr>
      </w:pPr>
      <w:r>
        <w:rPr>
          <w:b/>
          <w:bCs/>
          <w:lang w:val="en-US"/>
        </w:rPr>
        <w:t xml:space="preserve">Coal Mining </w:t>
      </w:r>
      <w:proofErr w:type="spellStart"/>
      <w:r>
        <w:rPr>
          <w:b/>
          <w:bCs/>
          <w:lang w:val="en-US"/>
        </w:rPr>
        <w:t>Licences</w:t>
      </w:r>
      <w:proofErr w:type="spellEnd"/>
      <w:r>
        <w:rPr>
          <w:b/>
          <w:bCs/>
          <w:lang w:val="en-US"/>
        </w:rPr>
        <w:t xml:space="preserve"> and Ancillary Coal Mining </w:t>
      </w:r>
      <w:proofErr w:type="spellStart"/>
      <w:r>
        <w:rPr>
          <w:b/>
          <w:bCs/>
          <w:lang w:val="en-US"/>
        </w:rPr>
        <w:t>Licences</w:t>
      </w:r>
      <w:proofErr w:type="spellEnd"/>
    </w:p>
    <w:p w14:paraId="3C4B679D" w14:textId="1C17EC39" w:rsidR="001D1E96" w:rsidRPr="00AB3520" w:rsidRDefault="001D1E96" w:rsidP="001D1E96">
      <w:pPr>
        <w:jc w:val="both"/>
        <w:rPr>
          <w:b/>
          <w:bCs/>
          <w:i/>
          <w:iCs/>
          <w:lang w:val="en-US"/>
        </w:rPr>
      </w:pPr>
      <w:r w:rsidRPr="00AB3520">
        <w:rPr>
          <w:b/>
          <w:bCs/>
          <w:i/>
          <w:iCs/>
          <w:lang w:val="en-US"/>
        </w:rPr>
        <w:t>Background</w:t>
      </w:r>
    </w:p>
    <w:p w14:paraId="5CD55B41" w14:textId="7CBA27BC" w:rsidR="001D1E96" w:rsidRDefault="001D1E96" w:rsidP="001D1E96">
      <w:pPr>
        <w:jc w:val="both"/>
        <w:rPr>
          <w:lang w:val="en-US"/>
        </w:rPr>
      </w:pPr>
      <w:r>
        <w:rPr>
          <w:lang w:val="en-US"/>
        </w:rPr>
        <w:t xml:space="preserve">When Solid Energy New Zealand Ltd (formerly Coal Corporation of New Zealand Ltd) was granted its various coal mining </w:t>
      </w:r>
      <w:proofErr w:type="spellStart"/>
      <w:r>
        <w:rPr>
          <w:lang w:val="en-US"/>
        </w:rPr>
        <w:t>licences</w:t>
      </w:r>
      <w:proofErr w:type="spellEnd"/>
      <w:r>
        <w:rPr>
          <w:lang w:val="en-US"/>
        </w:rPr>
        <w:t xml:space="preserve"> </w:t>
      </w:r>
      <w:r w:rsidR="000D2B56">
        <w:rPr>
          <w:lang w:val="en-US"/>
        </w:rPr>
        <w:t xml:space="preserve">and ancillary coal mining </w:t>
      </w:r>
      <w:proofErr w:type="spellStart"/>
      <w:r w:rsidR="000D2B56">
        <w:rPr>
          <w:lang w:val="en-US"/>
        </w:rPr>
        <w:t>licences</w:t>
      </w:r>
      <w:proofErr w:type="spellEnd"/>
      <w:r w:rsidR="000D2B56">
        <w:rPr>
          <w:lang w:val="en-US"/>
        </w:rPr>
        <w:t xml:space="preserve"> </w:t>
      </w:r>
      <w:r>
        <w:rPr>
          <w:lang w:val="en-US"/>
        </w:rPr>
        <w:t xml:space="preserve">a standard set of conditions </w:t>
      </w:r>
      <w:r w:rsidR="000E4600">
        <w:rPr>
          <w:lang w:val="en-US"/>
        </w:rPr>
        <w:t>were</w:t>
      </w:r>
      <w:r>
        <w:rPr>
          <w:lang w:val="en-US"/>
        </w:rPr>
        <w:t xml:space="preserve"> incorporated into them known as the Fourth Schedule conditions (being </w:t>
      </w:r>
      <w:r w:rsidR="000D2B56">
        <w:rPr>
          <w:lang w:val="en-US"/>
        </w:rPr>
        <w:t xml:space="preserve">those conditions </w:t>
      </w:r>
      <w:r>
        <w:rPr>
          <w:lang w:val="en-US"/>
        </w:rPr>
        <w:t>set out in the Fourth Schedule of the Coal Mines Act 1979).  In addition to these general conditions</w:t>
      </w:r>
      <w:r w:rsidR="000E4600">
        <w:rPr>
          <w:lang w:val="en-US"/>
        </w:rPr>
        <w:t>,</w:t>
      </w:r>
      <w:r>
        <w:rPr>
          <w:lang w:val="en-US"/>
        </w:rPr>
        <w:t xml:space="preserve"> </w:t>
      </w:r>
      <w:r w:rsidR="00AA03AA">
        <w:rPr>
          <w:lang w:val="en-US"/>
        </w:rPr>
        <w:t>additional</w:t>
      </w:r>
      <w:r>
        <w:rPr>
          <w:lang w:val="en-US"/>
        </w:rPr>
        <w:t xml:space="preserve"> conditions were also imposed after consultation with government departments and affected parties to address site specific environmental issues.</w:t>
      </w:r>
      <w:r w:rsidR="00820361">
        <w:rPr>
          <w:lang w:val="en-US"/>
        </w:rPr>
        <w:t xml:space="preserve">  This applied to both the Stockton and the Sullivan </w:t>
      </w:r>
      <w:proofErr w:type="spellStart"/>
      <w:r w:rsidR="00820361">
        <w:rPr>
          <w:lang w:val="en-US"/>
        </w:rPr>
        <w:t>licences</w:t>
      </w:r>
      <w:proofErr w:type="spellEnd"/>
      <w:r w:rsidR="00820361">
        <w:rPr>
          <w:lang w:val="en-US"/>
        </w:rPr>
        <w:t>.</w:t>
      </w:r>
    </w:p>
    <w:p w14:paraId="52940432" w14:textId="33BD99FF" w:rsidR="00AB3520" w:rsidRPr="00AB3520" w:rsidRDefault="00AB3520" w:rsidP="001D1E96">
      <w:pPr>
        <w:jc w:val="both"/>
        <w:rPr>
          <w:i/>
          <w:iCs/>
          <w:lang w:val="en-US"/>
        </w:rPr>
      </w:pPr>
      <w:r>
        <w:rPr>
          <w:i/>
          <w:iCs/>
          <w:lang w:val="en-US"/>
        </w:rPr>
        <w:t>Stockton CML 37 150 and ACMLs 37 150/02 and 03</w:t>
      </w:r>
    </w:p>
    <w:p w14:paraId="1732D812" w14:textId="7348FB84" w:rsidR="00F765F6" w:rsidRDefault="00F765F6" w:rsidP="001D1E96">
      <w:pPr>
        <w:jc w:val="both"/>
        <w:rPr>
          <w:lang w:val="en-US"/>
        </w:rPr>
      </w:pPr>
      <w:r>
        <w:rPr>
          <w:lang w:val="en-US"/>
        </w:rPr>
        <w:t xml:space="preserve">It should be noted that BT Mining Ltd is the </w:t>
      </w:r>
      <w:r w:rsidRPr="00AB3520">
        <w:rPr>
          <w:lang w:val="en-US"/>
        </w:rPr>
        <w:t>owner</w:t>
      </w:r>
      <w:r>
        <w:rPr>
          <w:lang w:val="en-US"/>
        </w:rPr>
        <w:t xml:space="preserve"> of </w:t>
      </w:r>
      <w:proofErr w:type="gramStart"/>
      <w:r w:rsidR="00A35D80" w:rsidRPr="00AB3520">
        <w:rPr>
          <w:u w:val="single"/>
          <w:lang w:val="en-US"/>
        </w:rPr>
        <w:t>all</w:t>
      </w:r>
      <w:r w:rsidR="00A35D80">
        <w:rPr>
          <w:lang w:val="en-US"/>
        </w:rPr>
        <w:t xml:space="preserve"> of</w:t>
      </w:r>
      <w:proofErr w:type="gramEnd"/>
      <w:r w:rsidR="00A35D80">
        <w:rPr>
          <w:lang w:val="en-US"/>
        </w:rPr>
        <w:t xml:space="preserve"> </w:t>
      </w:r>
      <w:r>
        <w:rPr>
          <w:lang w:val="en-US"/>
        </w:rPr>
        <w:t>the land over which CML 37 150 is located</w:t>
      </w:r>
      <w:r w:rsidR="000E4600">
        <w:rPr>
          <w:lang w:val="en-US"/>
        </w:rPr>
        <w:t xml:space="preserve"> and will remain the owner of this land and other parcels of land under the ACMLs until such time as it has completed its mining operations including rehabilitation at the Stockton mine</w:t>
      </w:r>
      <w:r>
        <w:rPr>
          <w:lang w:val="en-US"/>
        </w:rPr>
        <w:t xml:space="preserve">.  </w:t>
      </w:r>
      <w:r w:rsidR="00A35D80">
        <w:rPr>
          <w:lang w:val="en-US"/>
        </w:rPr>
        <w:t>(</w:t>
      </w:r>
      <w:r>
        <w:rPr>
          <w:lang w:val="en-US"/>
        </w:rPr>
        <w:t xml:space="preserve">BT owns some but not </w:t>
      </w:r>
      <w:proofErr w:type="gramStart"/>
      <w:r>
        <w:rPr>
          <w:lang w:val="en-US"/>
        </w:rPr>
        <w:t>all of</w:t>
      </w:r>
      <w:proofErr w:type="gramEnd"/>
      <w:r>
        <w:rPr>
          <w:lang w:val="en-US"/>
        </w:rPr>
        <w:t xml:space="preserve"> the land over which the ACMLs are located (the majority is DOC land)</w:t>
      </w:r>
      <w:r w:rsidR="00A35D80">
        <w:rPr>
          <w:lang w:val="en-US"/>
        </w:rPr>
        <w:t>).  When BT’s mining operations at Stockton have been completed, to the satisfaction of the various regulatory bodies, the land transfers back to the Crown.</w:t>
      </w:r>
    </w:p>
    <w:p w14:paraId="4E06F739" w14:textId="1D3340F7" w:rsidR="00AB3520" w:rsidRPr="00AB3520" w:rsidRDefault="00AB3520" w:rsidP="001D1E96">
      <w:pPr>
        <w:jc w:val="both"/>
        <w:rPr>
          <w:i/>
          <w:iCs/>
          <w:lang w:val="en-US"/>
        </w:rPr>
      </w:pPr>
      <w:r>
        <w:rPr>
          <w:i/>
          <w:iCs/>
          <w:lang w:val="en-US"/>
        </w:rPr>
        <w:t>Sullivan CML 37 161 and ACMLs 37 161/01 to 04</w:t>
      </w:r>
    </w:p>
    <w:p w14:paraId="4DFFA1A3" w14:textId="27BC8FFD" w:rsidR="00AB3520" w:rsidRDefault="00820361" w:rsidP="001D1E96">
      <w:pPr>
        <w:jc w:val="both"/>
        <w:rPr>
          <w:lang w:val="en-US"/>
        </w:rPr>
      </w:pPr>
      <w:r>
        <w:rPr>
          <w:lang w:val="en-US"/>
        </w:rPr>
        <w:t xml:space="preserve">Bathurst Coal Ltd is the holder of the coal mining and ancillary coal mining </w:t>
      </w:r>
      <w:proofErr w:type="spellStart"/>
      <w:r>
        <w:rPr>
          <w:lang w:val="en-US"/>
        </w:rPr>
        <w:t>licences</w:t>
      </w:r>
      <w:proofErr w:type="spellEnd"/>
      <w:r>
        <w:rPr>
          <w:lang w:val="en-US"/>
        </w:rPr>
        <w:t xml:space="preserve"> for the Sullivan </w:t>
      </w:r>
      <w:proofErr w:type="spellStart"/>
      <w:r>
        <w:rPr>
          <w:lang w:val="en-US"/>
        </w:rPr>
        <w:t>licence</w:t>
      </w:r>
      <w:proofErr w:type="spellEnd"/>
      <w:r>
        <w:rPr>
          <w:lang w:val="en-US"/>
        </w:rPr>
        <w:t xml:space="preserve"> area.  </w:t>
      </w:r>
      <w:proofErr w:type="gramStart"/>
      <w:r w:rsidR="00EF3418">
        <w:rPr>
          <w:lang w:val="en-US"/>
        </w:rPr>
        <w:t>The majority of</w:t>
      </w:r>
      <w:proofErr w:type="gramEnd"/>
      <w:r w:rsidR="00EF3418">
        <w:rPr>
          <w:lang w:val="en-US"/>
        </w:rPr>
        <w:t xml:space="preserve"> the land beneath the Sullivan </w:t>
      </w:r>
      <w:proofErr w:type="spellStart"/>
      <w:r w:rsidR="00EF3418">
        <w:rPr>
          <w:lang w:val="en-US"/>
        </w:rPr>
        <w:t>licences</w:t>
      </w:r>
      <w:proofErr w:type="spellEnd"/>
      <w:r w:rsidR="00EF3418">
        <w:rPr>
          <w:lang w:val="en-US"/>
        </w:rPr>
        <w:t xml:space="preserve"> is Crown owned and administered by DOC.</w:t>
      </w:r>
    </w:p>
    <w:p w14:paraId="2254BAE5" w14:textId="21FC0FDA" w:rsidR="00AB3520" w:rsidRDefault="00AB3520" w:rsidP="001D1E96">
      <w:pPr>
        <w:jc w:val="both"/>
        <w:rPr>
          <w:i/>
          <w:iCs/>
          <w:lang w:val="en-US"/>
        </w:rPr>
      </w:pPr>
      <w:r>
        <w:rPr>
          <w:i/>
          <w:iCs/>
          <w:lang w:val="en-US"/>
        </w:rPr>
        <w:t xml:space="preserve">Upper </w:t>
      </w:r>
      <w:proofErr w:type="spellStart"/>
      <w:r>
        <w:rPr>
          <w:i/>
          <w:iCs/>
          <w:lang w:val="en-US"/>
        </w:rPr>
        <w:t>Waimangaroa</w:t>
      </w:r>
      <w:proofErr w:type="spellEnd"/>
      <w:r>
        <w:rPr>
          <w:i/>
          <w:iCs/>
          <w:lang w:val="en-US"/>
        </w:rPr>
        <w:t xml:space="preserve"> </w:t>
      </w:r>
    </w:p>
    <w:p w14:paraId="5DF8D33E" w14:textId="6C99BA82" w:rsidR="00AB3520" w:rsidRDefault="00AB3520" w:rsidP="001D1E96">
      <w:pPr>
        <w:jc w:val="both"/>
        <w:rPr>
          <w:lang w:val="en-US"/>
        </w:rPr>
      </w:pPr>
      <w:r>
        <w:rPr>
          <w:lang w:val="en-US"/>
        </w:rPr>
        <w:t xml:space="preserve">BT Mining Ltd is the holder of </w:t>
      </w:r>
      <w:r w:rsidR="00820361">
        <w:rPr>
          <w:lang w:val="en-US"/>
        </w:rPr>
        <w:t>mining permit</w:t>
      </w:r>
      <w:r>
        <w:rPr>
          <w:lang w:val="en-US"/>
        </w:rPr>
        <w:t xml:space="preserve"> 4</w:t>
      </w:r>
      <w:r w:rsidR="00820361">
        <w:rPr>
          <w:lang w:val="en-US"/>
        </w:rPr>
        <w:t>1</w:t>
      </w:r>
      <w:r>
        <w:rPr>
          <w:lang w:val="en-US"/>
        </w:rPr>
        <w:t xml:space="preserve"> 515 </w:t>
      </w:r>
      <w:r w:rsidR="00820361">
        <w:rPr>
          <w:lang w:val="en-US"/>
        </w:rPr>
        <w:t xml:space="preserve">together with all required resource consents to permit mining at the Cypress mine.  The resource consent conditions </w:t>
      </w:r>
      <w:r w:rsidR="00EF3418">
        <w:rPr>
          <w:lang w:val="en-US"/>
        </w:rPr>
        <w:t xml:space="preserve">(both district and regional council) </w:t>
      </w:r>
      <w:r w:rsidR="00820361">
        <w:rPr>
          <w:lang w:val="en-US"/>
        </w:rPr>
        <w:t xml:space="preserve">address all environmental issues.  </w:t>
      </w:r>
      <w:r w:rsidR="00EF3418">
        <w:rPr>
          <w:lang w:val="en-US"/>
        </w:rPr>
        <w:t xml:space="preserve">The land is Crown owned and administered by LINZ and </w:t>
      </w:r>
      <w:r w:rsidR="00820361">
        <w:rPr>
          <w:lang w:val="en-US"/>
        </w:rPr>
        <w:t>BT holds two access arrangements granted by LINZ.  Both access arrangements contain the following clause relating to public access:</w:t>
      </w:r>
    </w:p>
    <w:p w14:paraId="78860799" w14:textId="045F4BB7" w:rsidR="00820361" w:rsidRDefault="00820361" w:rsidP="001D1E96">
      <w:pPr>
        <w:jc w:val="both"/>
        <w:rPr>
          <w:lang w:val="en-US"/>
        </w:rPr>
      </w:pPr>
      <w:r w:rsidRPr="00820361">
        <w:rPr>
          <w:noProof/>
          <w:lang w:val="en-US"/>
        </w:rPr>
        <w:drawing>
          <wp:inline distT="0" distB="0" distL="0" distR="0" wp14:anchorId="5E3DEDE2" wp14:editId="5C3C0BC4">
            <wp:extent cx="4184073" cy="109446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87029" cy="1095233"/>
                    </a:xfrm>
                    <a:prstGeom prst="rect">
                      <a:avLst/>
                    </a:prstGeom>
                    <a:noFill/>
                    <a:ln>
                      <a:noFill/>
                    </a:ln>
                  </pic:spPr>
                </pic:pic>
              </a:graphicData>
            </a:graphic>
          </wp:inline>
        </w:drawing>
      </w:r>
    </w:p>
    <w:p w14:paraId="1A50C2D2" w14:textId="77777777" w:rsidR="00820361" w:rsidRPr="00AB3520" w:rsidRDefault="00820361" w:rsidP="001D1E96">
      <w:pPr>
        <w:jc w:val="both"/>
        <w:rPr>
          <w:lang w:val="en-US"/>
        </w:rPr>
      </w:pPr>
    </w:p>
    <w:p w14:paraId="28E72985" w14:textId="2B103D0E" w:rsidR="001D1E96" w:rsidRDefault="001D1E96" w:rsidP="001D1E96">
      <w:pPr>
        <w:jc w:val="both"/>
        <w:rPr>
          <w:lang w:val="en-US"/>
        </w:rPr>
      </w:pPr>
      <w:r>
        <w:rPr>
          <w:lang w:val="en-US"/>
        </w:rPr>
        <w:lastRenderedPageBreak/>
        <w:t xml:space="preserve">This memo sets out the conditions in the Stockton </w:t>
      </w:r>
      <w:r w:rsidR="00EF3418">
        <w:rPr>
          <w:lang w:val="en-US"/>
        </w:rPr>
        <w:t xml:space="preserve">and Sullivan </w:t>
      </w:r>
      <w:proofErr w:type="spellStart"/>
      <w:r w:rsidR="00EF3418">
        <w:rPr>
          <w:lang w:val="en-US"/>
        </w:rPr>
        <w:t>licences</w:t>
      </w:r>
      <w:proofErr w:type="spellEnd"/>
      <w:r w:rsidR="00EF3418">
        <w:rPr>
          <w:lang w:val="en-US"/>
        </w:rPr>
        <w:t xml:space="preserve"> that </w:t>
      </w:r>
      <w:r>
        <w:rPr>
          <w:lang w:val="en-US"/>
        </w:rPr>
        <w:t xml:space="preserve">relate to environmental matters (other than </w:t>
      </w:r>
      <w:r w:rsidR="00E655C9">
        <w:rPr>
          <w:lang w:val="en-US"/>
        </w:rPr>
        <w:t xml:space="preserve">those which solely relate to </w:t>
      </w:r>
      <w:r>
        <w:rPr>
          <w:lang w:val="en-US"/>
        </w:rPr>
        <w:t xml:space="preserve">regional council functions).  At all times a holder of a CML </w:t>
      </w:r>
      <w:r w:rsidR="00A35D80">
        <w:rPr>
          <w:lang w:val="en-US"/>
        </w:rPr>
        <w:t xml:space="preserve">and ACMLs </w:t>
      </w:r>
      <w:r>
        <w:rPr>
          <w:lang w:val="en-US"/>
        </w:rPr>
        <w:t xml:space="preserve">has had to obtain all required regional </w:t>
      </w:r>
      <w:r w:rsidR="00A35D80">
        <w:rPr>
          <w:lang w:val="en-US"/>
        </w:rPr>
        <w:t xml:space="preserve">council </w:t>
      </w:r>
      <w:r>
        <w:rPr>
          <w:lang w:val="en-US"/>
        </w:rPr>
        <w:t xml:space="preserve">consents </w:t>
      </w:r>
      <w:r w:rsidR="00E655C9">
        <w:rPr>
          <w:lang w:val="en-US"/>
        </w:rPr>
        <w:t>for its activities.</w:t>
      </w:r>
    </w:p>
    <w:p w14:paraId="7FE5F7DE" w14:textId="3B934BC9" w:rsidR="00E655C9" w:rsidRPr="000E4600" w:rsidRDefault="00EF3418" w:rsidP="001D1E96">
      <w:pPr>
        <w:jc w:val="both"/>
        <w:rPr>
          <w:lang w:val="en-US"/>
        </w:rPr>
      </w:pPr>
      <w:r>
        <w:rPr>
          <w:b/>
          <w:bCs/>
          <w:lang w:val="en-US"/>
        </w:rPr>
        <w:t xml:space="preserve">Stockton: </w:t>
      </w:r>
      <w:r w:rsidR="00E655C9">
        <w:rPr>
          <w:b/>
          <w:bCs/>
          <w:lang w:val="en-US"/>
        </w:rPr>
        <w:t>CML 37-150</w:t>
      </w:r>
      <w:r w:rsidR="000E4600">
        <w:rPr>
          <w:b/>
          <w:bCs/>
          <w:lang w:val="en-US"/>
        </w:rPr>
        <w:t xml:space="preserve">; ACML 37 150/02 and ACML 37 150/03 </w:t>
      </w:r>
      <w:r w:rsidR="000E4600" w:rsidRPr="00AA03AA">
        <w:rPr>
          <w:sz w:val="18"/>
          <w:szCs w:val="18"/>
          <w:lang w:val="en-US"/>
        </w:rPr>
        <w:t>(noting that there is no ACML 37 150/01)</w:t>
      </w:r>
    </w:p>
    <w:p w14:paraId="43E44151" w14:textId="6618132B" w:rsidR="00E655C9" w:rsidRDefault="00E655C9" w:rsidP="001D1E96">
      <w:pPr>
        <w:jc w:val="both"/>
        <w:rPr>
          <w:b/>
          <w:bCs/>
          <w:i/>
          <w:iCs/>
          <w:lang w:val="en-US"/>
        </w:rPr>
      </w:pPr>
      <w:r w:rsidRPr="00E655C9">
        <w:rPr>
          <w:b/>
          <w:bCs/>
          <w:i/>
          <w:iCs/>
          <w:lang w:val="en-US"/>
        </w:rPr>
        <w:t>Fourth Schedule Conditions</w:t>
      </w:r>
    </w:p>
    <w:p w14:paraId="44A44771" w14:textId="1C8D570A" w:rsidR="00A35D80" w:rsidRDefault="00A35D80" w:rsidP="001D1E96">
      <w:pPr>
        <w:jc w:val="both"/>
        <w:rPr>
          <w:b/>
          <w:bCs/>
          <w:i/>
          <w:iCs/>
          <w:lang w:val="en-US"/>
        </w:rPr>
      </w:pPr>
      <w:r w:rsidRPr="00A35D80">
        <w:rPr>
          <w:b/>
          <w:bCs/>
          <w:i/>
          <w:iCs/>
          <w:noProof/>
          <w:lang w:val="en-US"/>
        </w:rPr>
        <w:drawing>
          <wp:inline distT="0" distB="0" distL="0" distR="0" wp14:anchorId="145D6A3A" wp14:editId="2D4F6D90">
            <wp:extent cx="2708275" cy="20542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8275" cy="2054225"/>
                    </a:xfrm>
                    <a:prstGeom prst="rect">
                      <a:avLst/>
                    </a:prstGeom>
                    <a:noFill/>
                    <a:ln>
                      <a:noFill/>
                    </a:ln>
                  </pic:spPr>
                </pic:pic>
              </a:graphicData>
            </a:graphic>
          </wp:inline>
        </w:drawing>
      </w:r>
    </w:p>
    <w:p w14:paraId="7550ED5A" w14:textId="119453F4" w:rsidR="00A35D80" w:rsidRPr="00E655C9" w:rsidRDefault="00A35D80" w:rsidP="001D1E96">
      <w:pPr>
        <w:jc w:val="both"/>
        <w:rPr>
          <w:b/>
          <w:bCs/>
          <w:i/>
          <w:iCs/>
          <w:lang w:val="en-US"/>
        </w:rPr>
      </w:pPr>
      <w:r w:rsidRPr="00A35D80">
        <w:rPr>
          <w:b/>
          <w:bCs/>
          <w:i/>
          <w:iCs/>
          <w:noProof/>
          <w:lang w:val="en-US"/>
        </w:rPr>
        <w:drawing>
          <wp:inline distT="0" distB="0" distL="0" distR="0" wp14:anchorId="001AA99F" wp14:editId="278417DD">
            <wp:extent cx="2923540" cy="8483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3540" cy="848360"/>
                    </a:xfrm>
                    <a:prstGeom prst="rect">
                      <a:avLst/>
                    </a:prstGeom>
                    <a:noFill/>
                    <a:ln>
                      <a:noFill/>
                    </a:ln>
                  </pic:spPr>
                </pic:pic>
              </a:graphicData>
            </a:graphic>
          </wp:inline>
        </w:drawing>
      </w:r>
    </w:p>
    <w:p w14:paraId="2C6C6EBF" w14:textId="1CAD4FD6" w:rsidR="00E655C9" w:rsidRDefault="00E655C9" w:rsidP="001D1E96">
      <w:pPr>
        <w:jc w:val="both"/>
        <w:rPr>
          <w:lang w:val="en-US"/>
        </w:rPr>
      </w:pPr>
      <w:r w:rsidRPr="00E655C9">
        <w:rPr>
          <w:noProof/>
          <w:lang w:val="en-US"/>
        </w:rPr>
        <w:lastRenderedPageBreak/>
        <w:drawing>
          <wp:inline distT="0" distB="0" distL="0" distR="0" wp14:anchorId="5073051F" wp14:editId="00DCF254">
            <wp:extent cx="2555875" cy="54413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5875" cy="5441315"/>
                    </a:xfrm>
                    <a:prstGeom prst="rect">
                      <a:avLst/>
                    </a:prstGeom>
                    <a:noFill/>
                    <a:ln>
                      <a:noFill/>
                    </a:ln>
                  </pic:spPr>
                </pic:pic>
              </a:graphicData>
            </a:graphic>
          </wp:inline>
        </w:drawing>
      </w:r>
    </w:p>
    <w:p w14:paraId="3FDC7E5D" w14:textId="4F691A26" w:rsidR="00E655C9" w:rsidRDefault="00E655C9" w:rsidP="001D1E96">
      <w:pPr>
        <w:jc w:val="both"/>
        <w:rPr>
          <w:lang w:val="en-US"/>
        </w:rPr>
      </w:pPr>
      <w:r w:rsidRPr="00E655C9">
        <w:rPr>
          <w:noProof/>
          <w:lang w:val="en-US"/>
        </w:rPr>
        <w:lastRenderedPageBreak/>
        <w:drawing>
          <wp:inline distT="0" distB="0" distL="0" distR="0" wp14:anchorId="3F24B5B2" wp14:editId="7EF2EEC2">
            <wp:extent cx="2618740" cy="5984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8740" cy="5984875"/>
                    </a:xfrm>
                    <a:prstGeom prst="rect">
                      <a:avLst/>
                    </a:prstGeom>
                    <a:noFill/>
                    <a:ln>
                      <a:noFill/>
                    </a:ln>
                  </pic:spPr>
                </pic:pic>
              </a:graphicData>
            </a:graphic>
          </wp:inline>
        </w:drawing>
      </w:r>
    </w:p>
    <w:p w14:paraId="0E1D0284" w14:textId="2A0562B2" w:rsidR="00E655C9" w:rsidRDefault="00E655C9" w:rsidP="001D1E96">
      <w:pPr>
        <w:jc w:val="both"/>
        <w:rPr>
          <w:lang w:val="en-US"/>
        </w:rPr>
      </w:pPr>
      <w:r w:rsidRPr="00E655C9">
        <w:rPr>
          <w:noProof/>
          <w:lang w:val="en-US"/>
        </w:rPr>
        <w:drawing>
          <wp:inline distT="0" distB="0" distL="0" distR="0" wp14:anchorId="4314AED0" wp14:editId="0F5E26DB">
            <wp:extent cx="2784475" cy="23590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4475" cy="2359025"/>
                    </a:xfrm>
                    <a:prstGeom prst="rect">
                      <a:avLst/>
                    </a:prstGeom>
                    <a:noFill/>
                    <a:ln>
                      <a:noFill/>
                    </a:ln>
                  </pic:spPr>
                </pic:pic>
              </a:graphicData>
            </a:graphic>
          </wp:inline>
        </w:drawing>
      </w:r>
    </w:p>
    <w:p w14:paraId="084C0CB5" w14:textId="01A14541" w:rsidR="00E655C9" w:rsidRDefault="00E655C9" w:rsidP="001D1E96">
      <w:pPr>
        <w:jc w:val="both"/>
        <w:rPr>
          <w:lang w:val="en-US"/>
        </w:rPr>
      </w:pPr>
      <w:r w:rsidRPr="00E655C9">
        <w:rPr>
          <w:noProof/>
          <w:lang w:val="en-US"/>
        </w:rPr>
        <w:lastRenderedPageBreak/>
        <w:drawing>
          <wp:inline distT="0" distB="0" distL="0" distR="0" wp14:anchorId="2F2DD9EA" wp14:editId="6DE7A6CE">
            <wp:extent cx="2802255" cy="54413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2255" cy="5441315"/>
                    </a:xfrm>
                    <a:prstGeom prst="rect">
                      <a:avLst/>
                    </a:prstGeom>
                    <a:noFill/>
                    <a:ln>
                      <a:noFill/>
                    </a:ln>
                  </pic:spPr>
                </pic:pic>
              </a:graphicData>
            </a:graphic>
          </wp:inline>
        </w:drawing>
      </w:r>
    </w:p>
    <w:p w14:paraId="22EA749B" w14:textId="370F3023" w:rsidR="00E655C9" w:rsidRDefault="00E655C9" w:rsidP="001D1E96">
      <w:pPr>
        <w:jc w:val="both"/>
        <w:rPr>
          <w:lang w:val="en-US"/>
        </w:rPr>
      </w:pPr>
      <w:r w:rsidRPr="00E655C9">
        <w:rPr>
          <w:noProof/>
          <w:lang w:val="en-US"/>
        </w:rPr>
        <w:lastRenderedPageBreak/>
        <w:drawing>
          <wp:inline distT="0" distB="0" distL="0" distR="0" wp14:anchorId="30775253" wp14:editId="72F8E090">
            <wp:extent cx="2555875" cy="5316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5875" cy="5316855"/>
                    </a:xfrm>
                    <a:prstGeom prst="rect">
                      <a:avLst/>
                    </a:prstGeom>
                    <a:noFill/>
                    <a:ln>
                      <a:noFill/>
                    </a:ln>
                  </pic:spPr>
                </pic:pic>
              </a:graphicData>
            </a:graphic>
          </wp:inline>
        </w:drawing>
      </w:r>
    </w:p>
    <w:p w14:paraId="11EBCB1C" w14:textId="77777777" w:rsidR="009004F0" w:rsidRDefault="009004F0">
      <w:pPr>
        <w:rPr>
          <w:b/>
          <w:bCs/>
          <w:i/>
          <w:iCs/>
          <w:lang w:val="en-US"/>
        </w:rPr>
      </w:pPr>
      <w:r>
        <w:rPr>
          <w:b/>
          <w:bCs/>
          <w:i/>
          <w:iCs/>
          <w:lang w:val="en-US"/>
        </w:rPr>
        <w:br w:type="page"/>
      </w:r>
    </w:p>
    <w:p w14:paraId="5CB68B06" w14:textId="2A34AB3D" w:rsidR="00E655C9" w:rsidRPr="000E4600" w:rsidRDefault="00AA03AA" w:rsidP="001D1E96">
      <w:pPr>
        <w:jc w:val="both"/>
        <w:rPr>
          <w:i/>
          <w:iCs/>
          <w:lang w:val="en-US"/>
        </w:rPr>
      </w:pPr>
      <w:r>
        <w:rPr>
          <w:b/>
          <w:bCs/>
          <w:i/>
          <w:iCs/>
          <w:lang w:val="en-US"/>
        </w:rPr>
        <w:lastRenderedPageBreak/>
        <w:t>Additional</w:t>
      </w:r>
      <w:r w:rsidR="00E655C9">
        <w:rPr>
          <w:b/>
          <w:bCs/>
          <w:i/>
          <w:iCs/>
          <w:lang w:val="en-US"/>
        </w:rPr>
        <w:t xml:space="preserve"> Conditions for the Stockton CML</w:t>
      </w:r>
      <w:r w:rsidR="000E4600">
        <w:rPr>
          <w:b/>
          <w:bCs/>
          <w:i/>
          <w:iCs/>
          <w:lang w:val="en-US"/>
        </w:rPr>
        <w:t xml:space="preserve"> 37 150 </w:t>
      </w:r>
      <w:r w:rsidR="000E4600">
        <w:rPr>
          <w:i/>
          <w:iCs/>
          <w:lang w:val="en-US"/>
        </w:rPr>
        <w:t xml:space="preserve">(noting there were no additional conditions for the Ancillary Coal Mining </w:t>
      </w:r>
      <w:proofErr w:type="spellStart"/>
      <w:r w:rsidR="000E4600">
        <w:rPr>
          <w:i/>
          <w:iCs/>
          <w:lang w:val="en-US"/>
        </w:rPr>
        <w:t>Licences</w:t>
      </w:r>
      <w:proofErr w:type="spellEnd"/>
      <w:r w:rsidR="000E4600">
        <w:rPr>
          <w:i/>
          <w:iCs/>
          <w:lang w:val="en-US"/>
        </w:rPr>
        <w:t>)</w:t>
      </w:r>
    </w:p>
    <w:p w14:paraId="6E184FF1" w14:textId="22BDDF07" w:rsidR="00E655C9" w:rsidRDefault="00E655C9" w:rsidP="001D1E96">
      <w:pPr>
        <w:jc w:val="both"/>
        <w:rPr>
          <w:b/>
          <w:bCs/>
          <w:lang w:val="en-US"/>
        </w:rPr>
      </w:pPr>
      <w:r w:rsidRPr="00E655C9">
        <w:rPr>
          <w:b/>
          <w:bCs/>
          <w:noProof/>
          <w:lang w:val="en-US"/>
        </w:rPr>
        <w:drawing>
          <wp:inline distT="0" distB="0" distL="0" distR="0" wp14:anchorId="6DD6A1D1" wp14:editId="6B5E28B8">
            <wp:extent cx="5115560" cy="654304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5560" cy="6543040"/>
                    </a:xfrm>
                    <a:prstGeom prst="rect">
                      <a:avLst/>
                    </a:prstGeom>
                    <a:noFill/>
                    <a:ln>
                      <a:noFill/>
                    </a:ln>
                  </pic:spPr>
                </pic:pic>
              </a:graphicData>
            </a:graphic>
          </wp:inline>
        </w:drawing>
      </w:r>
    </w:p>
    <w:p w14:paraId="6921DB5E" w14:textId="37302190" w:rsidR="00E655C9" w:rsidRDefault="00E655C9" w:rsidP="001D1E96">
      <w:pPr>
        <w:jc w:val="both"/>
        <w:rPr>
          <w:b/>
          <w:bCs/>
          <w:lang w:val="en-US"/>
        </w:rPr>
      </w:pPr>
      <w:r w:rsidRPr="00E655C9">
        <w:rPr>
          <w:b/>
          <w:bCs/>
          <w:noProof/>
          <w:lang w:val="en-US"/>
        </w:rPr>
        <w:lastRenderedPageBreak/>
        <w:drawing>
          <wp:inline distT="0" distB="0" distL="0" distR="0" wp14:anchorId="7F4A3FD2" wp14:editId="3710B5BE">
            <wp:extent cx="5222875" cy="6591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2875" cy="6591300"/>
                    </a:xfrm>
                    <a:prstGeom prst="rect">
                      <a:avLst/>
                    </a:prstGeom>
                    <a:noFill/>
                    <a:ln>
                      <a:noFill/>
                    </a:ln>
                  </pic:spPr>
                </pic:pic>
              </a:graphicData>
            </a:graphic>
          </wp:inline>
        </w:drawing>
      </w:r>
    </w:p>
    <w:p w14:paraId="4C84635C" w14:textId="06FB3F94" w:rsidR="00E655C9" w:rsidRDefault="00E655C9" w:rsidP="001D1E96">
      <w:pPr>
        <w:jc w:val="both"/>
        <w:rPr>
          <w:b/>
          <w:bCs/>
          <w:lang w:val="en-US"/>
        </w:rPr>
      </w:pPr>
      <w:r w:rsidRPr="00E655C9">
        <w:rPr>
          <w:b/>
          <w:bCs/>
          <w:noProof/>
          <w:lang w:val="en-US"/>
        </w:rPr>
        <w:lastRenderedPageBreak/>
        <w:drawing>
          <wp:inline distT="0" distB="0" distL="0" distR="0" wp14:anchorId="51FFC09A" wp14:editId="6A0AD238">
            <wp:extent cx="5285740" cy="6878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5740" cy="6878955"/>
                    </a:xfrm>
                    <a:prstGeom prst="rect">
                      <a:avLst/>
                    </a:prstGeom>
                    <a:noFill/>
                    <a:ln>
                      <a:noFill/>
                    </a:ln>
                  </pic:spPr>
                </pic:pic>
              </a:graphicData>
            </a:graphic>
          </wp:inline>
        </w:drawing>
      </w:r>
    </w:p>
    <w:p w14:paraId="6FC2B866" w14:textId="0F73303C" w:rsidR="00E655C9" w:rsidRDefault="00E655C9" w:rsidP="001D1E96">
      <w:pPr>
        <w:jc w:val="both"/>
        <w:rPr>
          <w:b/>
          <w:bCs/>
          <w:lang w:val="en-US"/>
        </w:rPr>
      </w:pPr>
      <w:r w:rsidRPr="00E655C9">
        <w:rPr>
          <w:b/>
          <w:bCs/>
          <w:noProof/>
          <w:lang w:val="en-US"/>
        </w:rPr>
        <w:lastRenderedPageBreak/>
        <w:drawing>
          <wp:inline distT="0" distB="0" distL="0" distR="0" wp14:anchorId="5F654F0C" wp14:editId="7C60BEC2">
            <wp:extent cx="5316855" cy="68548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6855" cy="6854825"/>
                    </a:xfrm>
                    <a:prstGeom prst="rect">
                      <a:avLst/>
                    </a:prstGeom>
                    <a:noFill/>
                    <a:ln>
                      <a:noFill/>
                    </a:ln>
                  </pic:spPr>
                </pic:pic>
              </a:graphicData>
            </a:graphic>
          </wp:inline>
        </w:drawing>
      </w:r>
    </w:p>
    <w:p w14:paraId="510E1668" w14:textId="27D75FF5" w:rsidR="00E655C9" w:rsidRDefault="00E655C9" w:rsidP="001D1E96">
      <w:pPr>
        <w:jc w:val="both"/>
        <w:rPr>
          <w:b/>
          <w:bCs/>
          <w:lang w:val="en-US"/>
        </w:rPr>
      </w:pPr>
      <w:r w:rsidRPr="00E655C9">
        <w:rPr>
          <w:b/>
          <w:bCs/>
          <w:noProof/>
          <w:lang w:val="en-US"/>
        </w:rPr>
        <w:drawing>
          <wp:inline distT="0" distB="0" distL="0" distR="0" wp14:anchorId="317C904D" wp14:editId="4948EEAC">
            <wp:extent cx="5316855" cy="15690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6855" cy="1569085"/>
                    </a:xfrm>
                    <a:prstGeom prst="rect">
                      <a:avLst/>
                    </a:prstGeom>
                    <a:noFill/>
                    <a:ln>
                      <a:noFill/>
                    </a:ln>
                  </pic:spPr>
                </pic:pic>
              </a:graphicData>
            </a:graphic>
          </wp:inline>
        </w:drawing>
      </w:r>
    </w:p>
    <w:p w14:paraId="0C88F128" w14:textId="0B44702D" w:rsidR="00E655C9" w:rsidRDefault="00E655C9" w:rsidP="001D1E96">
      <w:pPr>
        <w:jc w:val="both"/>
        <w:rPr>
          <w:b/>
          <w:bCs/>
          <w:lang w:val="en-US"/>
        </w:rPr>
      </w:pPr>
      <w:r w:rsidRPr="00E655C9">
        <w:rPr>
          <w:b/>
          <w:bCs/>
          <w:noProof/>
          <w:lang w:val="en-US"/>
        </w:rPr>
        <w:lastRenderedPageBreak/>
        <w:drawing>
          <wp:inline distT="0" distB="0" distL="0" distR="0" wp14:anchorId="0182B5AC" wp14:editId="5A708EC7">
            <wp:extent cx="5178425" cy="508825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8425" cy="5088255"/>
                    </a:xfrm>
                    <a:prstGeom prst="rect">
                      <a:avLst/>
                    </a:prstGeom>
                    <a:noFill/>
                    <a:ln>
                      <a:noFill/>
                    </a:ln>
                  </pic:spPr>
                </pic:pic>
              </a:graphicData>
            </a:graphic>
          </wp:inline>
        </w:drawing>
      </w:r>
    </w:p>
    <w:p w14:paraId="5B90202C" w14:textId="0760B2DF" w:rsidR="009004F0" w:rsidRDefault="009004F0" w:rsidP="001D1E96">
      <w:pPr>
        <w:jc w:val="both"/>
        <w:rPr>
          <w:b/>
          <w:bCs/>
          <w:lang w:val="en-US"/>
        </w:rPr>
      </w:pPr>
      <w:r w:rsidRPr="009004F0">
        <w:rPr>
          <w:b/>
          <w:bCs/>
          <w:noProof/>
          <w:lang w:val="en-US"/>
        </w:rPr>
        <w:lastRenderedPageBreak/>
        <w:drawing>
          <wp:inline distT="0" distB="0" distL="0" distR="0" wp14:anchorId="38A94ED8" wp14:editId="30018E3F">
            <wp:extent cx="5299075" cy="65633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9075" cy="6563360"/>
                    </a:xfrm>
                    <a:prstGeom prst="rect">
                      <a:avLst/>
                    </a:prstGeom>
                    <a:noFill/>
                    <a:ln>
                      <a:noFill/>
                    </a:ln>
                  </pic:spPr>
                </pic:pic>
              </a:graphicData>
            </a:graphic>
          </wp:inline>
        </w:drawing>
      </w:r>
    </w:p>
    <w:p w14:paraId="23BAC558" w14:textId="1CCF2C06" w:rsidR="009004F0" w:rsidRDefault="009004F0" w:rsidP="001D1E96">
      <w:pPr>
        <w:jc w:val="both"/>
        <w:rPr>
          <w:b/>
          <w:bCs/>
          <w:lang w:val="en-US"/>
        </w:rPr>
      </w:pPr>
      <w:r w:rsidRPr="009004F0">
        <w:rPr>
          <w:b/>
          <w:bCs/>
          <w:noProof/>
          <w:lang w:val="en-US"/>
        </w:rPr>
        <w:drawing>
          <wp:inline distT="0" distB="0" distL="0" distR="0" wp14:anchorId="5F0ED3E3" wp14:editId="58A18722">
            <wp:extent cx="5191760" cy="1953260"/>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91760" cy="1953260"/>
                    </a:xfrm>
                    <a:prstGeom prst="rect">
                      <a:avLst/>
                    </a:prstGeom>
                    <a:noFill/>
                    <a:ln>
                      <a:noFill/>
                    </a:ln>
                  </pic:spPr>
                </pic:pic>
              </a:graphicData>
            </a:graphic>
          </wp:inline>
        </w:drawing>
      </w:r>
    </w:p>
    <w:p w14:paraId="52D89907" w14:textId="1850A95E" w:rsidR="00EF3418" w:rsidRDefault="00EF3418" w:rsidP="001D1E96">
      <w:pPr>
        <w:jc w:val="both"/>
        <w:rPr>
          <w:b/>
          <w:bCs/>
          <w:lang w:val="en-US"/>
        </w:rPr>
      </w:pPr>
      <w:r w:rsidRPr="00EF3418">
        <w:rPr>
          <w:b/>
          <w:bCs/>
          <w:lang w:val="en-US"/>
        </w:rPr>
        <w:lastRenderedPageBreak/>
        <w:t>Sullivan CML 3</w:t>
      </w:r>
      <w:r w:rsidR="007E71DC">
        <w:rPr>
          <w:b/>
          <w:bCs/>
          <w:lang w:val="en-US"/>
        </w:rPr>
        <w:t>7</w:t>
      </w:r>
      <w:r w:rsidRPr="00EF3418">
        <w:rPr>
          <w:b/>
          <w:bCs/>
          <w:lang w:val="en-US"/>
        </w:rPr>
        <w:t xml:space="preserve"> 161; ACMLs 37 161/01 to 04</w:t>
      </w:r>
    </w:p>
    <w:p w14:paraId="25F909F8" w14:textId="4FFE521C" w:rsidR="00EF3418" w:rsidRDefault="007E71DC" w:rsidP="001D1E96">
      <w:pPr>
        <w:jc w:val="both"/>
        <w:rPr>
          <w:lang w:val="en-US"/>
        </w:rPr>
      </w:pPr>
      <w:r>
        <w:rPr>
          <w:lang w:val="en-US"/>
        </w:rPr>
        <w:t xml:space="preserve">All contain the Fourth Schedule conditions – refer to the above for the relevant conditions (page 2 onwards). </w:t>
      </w:r>
    </w:p>
    <w:p w14:paraId="551D96DB" w14:textId="2F8165B9" w:rsidR="007E71DC" w:rsidRDefault="007E71DC" w:rsidP="001D1E96">
      <w:pPr>
        <w:jc w:val="both"/>
        <w:rPr>
          <w:lang w:val="en-US"/>
        </w:rPr>
      </w:pPr>
      <w:r>
        <w:rPr>
          <w:lang w:val="en-US"/>
        </w:rPr>
        <w:t xml:space="preserve">In </w:t>
      </w:r>
      <w:proofErr w:type="gramStart"/>
      <w:r>
        <w:rPr>
          <w:lang w:val="en-US"/>
        </w:rPr>
        <w:t>addition</w:t>
      </w:r>
      <w:proofErr w:type="gramEnd"/>
      <w:r>
        <w:rPr>
          <w:lang w:val="en-US"/>
        </w:rPr>
        <w:t xml:space="preserve"> the additional conditions for CML 37 161 are:</w:t>
      </w:r>
    </w:p>
    <w:p w14:paraId="6FBD6477" w14:textId="001548FA" w:rsidR="007E71DC" w:rsidRDefault="007E71DC" w:rsidP="001D1E96">
      <w:pPr>
        <w:jc w:val="both"/>
        <w:rPr>
          <w:lang w:val="en-US"/>
        </w:rPr>
      </w:pPr>
      <w:r w:rsidRPr="007E71DC">
        <w:rPr>
          <w:noProof/>
          <w:lang w:val="en-US"/>
        </w:rPr>
        <w:drawing>
          <wp:inline distT="0" distB="0" distL="0" distR="0" wp14:anchorId="08DF54F9" wp14:editId="440B6713">
            <wp:extent cx="5731510" cy="660781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6607810"/>
                    </a:xfrm>
                    <a:prstGeom prst="rect">
                      <a:avLst/>
                    </a:prstGeom>
                    <a:noFill/>
                    <a:ln>
                      <a:noFill/>
                    </a:ln>
                  </pic:spPr>
                </pic:pic>
              </a:graphicData>
            </a:graphic>
          </wp:inline>
        </w:drawing>
      </w:r>
    </w:p>
    <w:p w14:paraId="4B9D5884" w14:textId="6586CF67" w:rsidR="007E71DC" w:rsidRDefault="007E71DC" w:rsidP="001D1E96">
      <w:pPr>
        <w:jc w:val="both"/>
        <w:rPr>
          <w:lang w:val="en-US"/>
        </w:rPr>
      </w:pPr>
      <w:r w:rsidRPr="007E71DC">
        <w:rPr>
          <w:noProof/>
          <w:lang w:val="en-US"/>
        </w:rPr>
        <w:lastRenderedPageBreak/>
        <w:drawing>
          <wp:inline distT="0" distB="0" distL="0" distR="0" wp14:anchorId="4B94022C" wp14:editId="14719C53">
            <wp:extent cx="5731510" cy="6641465"/>
            <wp:effectExtent l="0" t="0" r="254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6641465"/>
                    </a:xfrm>
                    <a:prstGeom prst="rect">
                      <a:avLst/>
                    </a:prstGeom>
                    <a:noFill/>
                    <a:ln>
                      <a:noFill/>
                    </a:ln>
                  </pic:spPr>
                </pic:pic>
              </a:graphicData>
            </a:graphic>
          </wp:inline>
        </w:drawing>
      </w:r>
    </w:p>
    <w:p w14:paraId="7FCF858B" w14:textId="5BFF6628" w:rsidR="007E71DC" w:rsidRDefault="007E71DC" w:rsidP="001D1E96">
      <w:pPr>
        <w:jc w:val="both"/>
        <w:rPr>
          <w:lang w:val="en-US"/>
        </w:rPr>
      </w:pPr>
      <w:r w:rsidRPr="007E71DC">
        <w:rPr>
          <w:noProof/>
          <w:lang w:val="en-US"/>
        </w:rPr>
        <w:lastRenderedPageBreak/>
        <w:drawing>
          <wp:inline distT="0" distB="0" distL="0" distR="0" wp14:anchorId="7CB20518" wp14:editId="05279EB0">
            <wp:extent cx="5731510" cy="680910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6809105"/>
                    </a:xfrm>
                    <a:prstGeom prst="rect">
                      <a:avLst/>
                    </a:prstGeom>
                    <a:noFill/>
                    <a:ln>
                      <a:noFill/>
                    </a:ln>
                  </pic:spPr>
                </pic:pic>
              </a:graphicData>
            </a:graphic>
          </wp:inline>
        </w:drawing>
      </w:r>
    </w:p>
    <w:p w14:paraId="6FFEEA6A" w14:textId="5B8E41BF" w:rsidR="007E71DC" w:rsidRDefault="007E71DC" w:rsidP="001D1E96">
      <w:pPr>
        <w:jc w:val="both"/>
        <w:rPr>
          <w:lang w:val="en-US"/>
        </w:rPr>
      </w:pPr>
      <w:r w:rsidRPr="007E71DC">
        <w:rPr>
          <w:noProof/>
          <w:lang w:val="en-US"/>
        </w:rPr>
        <w:lastRenderedPageBreak/>
        <w:drawing>
          <wp:inline distT="0" distB="0" distL="0" distR="0" wp14:anchorId="75577E73" wp14:editId="777B984A">
            <wp:extent cx="5731510" cy="6873875"/>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6873875"/>
                    </a:xfrm>
                    <a:prstGeom prst="rect">
                      <a:avLst/>
                    </a:prstGeom>
                    <a:noFill/>
                    <a:ln>
                      <a:noFill/>
                    </a:ln>
                  </pic:spPr>
                </pic:pic>
              </a:graphicData>
            </a:graphic>
          </wp:inline>
        </w:drawing>
      </w:r>
    </w:p>
    <w:p w14:paraId="7B7D27C1" w14:textId="5DCA6E6A" w:rsidR="007E71DC" w:rsidRDefault="007E71DC" w:rsidP="001D1E96">
      <w:pPr>
        <w:jc w:val="both"/>
        <w:rPr>
          <w:lang w:val="en-US"/>
        </w:rPr>
      </w:pPr>
      <w:r w:rsidRPr="007E71DC">
        <w:rPr>
          <w:noProof/>
          <w:lang w:val="en-US"/>
        </w:rPr>
        <w:lastRenderedPageBreak/>
        <w:drawing>
          <wp:inline distT="0" distB="0" distL="0" distR="0" wp14:anchorId="1862F62C" wp14:editId="071222B7">
            <wp:extent cx="5731510" cy="206565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065655"/>
                    </a:xfrm>
                    <a:prstGeom prst="rect">
                      <a:avLst/>
                    </a:prstGeom>
                    <a:noFill/>
                    <a:ln>
                      <a:noFill/>
                    </a:ln>
                  </pic:spPr>
                </pic:pic>
              </a:graphicData>
            </a:graphic>
          </wp:inline>
        </w:drawing>
      </w:r>
    </w:p>
    <w:p w14:paraId="39FAD198" w14:textId="7916FB59" w:rsidR="007E71DC" w:rsidRPr="00EF3418" w:rsidRDefault="007E71DC" w:rsidP="001D1E96">
      <w:pPr>
        <w:jc w:val="both"/>
        <w:rPr>
          <w:lang w:val="en-US"/>
        </w:rPr>
      </w:pPr>
      <w:r w:rsidRPr="007E71DC">
        <w:rPr>
          <w:noProof/>
          <w:lang w:val="en-US"/>
        </w:rPr>
        <w:drawing>
          <wp:inline distT="0" distB="0" distL="0" distR="0" wp14:anchorId="2A95D283" wp14:editId="4C9490E5">
            <wp:extent cx="5731510" cy="522668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5226685"/>
                    </a:xfrm>
                    <a:prstGeom prst="rect">
                      <a:avLst/>
                    </a:prstGeom>
                    <a:noFill/>
                    <a:ln>
                      <a:noFill/>
                    </a:ln>
                  </pic:spPr>
                </pic:pic>
              </a:graphicData>
            </a:graphic>
          </wp:inline>
        </w:drawing>
      </w:r>
      <w:r w:rsidRPr="007E71DC">
        <w:rPr>
          <w:noProof/>
          <w:lang w:val="en-US"/>
        </w:rPr>
        <w:drawing>
          <wp:inline distT="0" distB="0" distL="0" distR="0" wp14:anchorId="242CFE5F" wp14:editId="78F949B1">
            <wp:extent cx="5731510" cy="143192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431925"/>
                    </a:xfrm>
                    <a:prstGeom prst="rect">
                      <a:avLst/>
                    </a:prstGeom>
                    <a:noFill/>
                    <a:ln>
                      <a:noFill/>
                    </a:ln>
                  </pic:spPr>
                </pic:pic>
              </a:graphicData>
            </a:graphic>
          </wp:inline>
        </w:drawing>
      </w:r>
    </w:p>
    <w:sectPr w:rsidR="007E71DC" w:rsidRPr="00EF341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4D1F8" w14:textId="77777777" w:rsidR="006769C7" w:rsidRDefault="006769C7" w:rsidP="00E655C9">
      <w:pPr>
        <w:spacing w:after="0" w:line="240" w:lineRule="auto"/>
      </w:pPr>
      <w:r>
        <w:separator/>
      </w:r>
    </w:p>
  </w:endnote>
  <w:endnote w:type="continuationSeparator" w:id="0">
    <w:p w14:paraId="7E8318F5" w14:textId="77777777" w:rsidR="006769C7" w:rsidRDefault="006769C7" w:rsidP="00E65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401938"/>
      <w:docPartObj>
        <w:docPartGallery w:val="Page Numbers (Bottom of Page)"/>
        <w:docPartUnique/>
      </w:docPartObj>
    </w:sdtPr>
    <w:sdtEndPr>
      <w:rPr>
        <w:color w:val="7F7F7F" w:themeColor="background1" w:themeShade="7F"/>
        <w:spacing w:val="60"/>
      </w:rPr>
    </w:sdtEndPr>
    <w:sdtContent>
      <w:p w14:paraId="40E8FF85" w14:textId="0DF04573" w:rsidR="00E655C9" w:rsidRDefault="00E655C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1FA0E0E" w14:textId="77777777" w:rsidR="00E655C9" w:rsidRDefault="00E655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5551D" w14:textId="77777777" w:rsidR="006769C7" w:rsidRDefault="006769C7" w:rsidP="00E655C9">
      <w:pPr>
        <w:spacing w:after="0" w:line="240" w:lineRule="auto"/>
      </w:pPr>
      <w:r>
        <w:separator/>
      </w:r>
    </w:p>
  </w:footnote>
  <w:footnote w:type="continuationSeparator" w:id="0">
    <w:p w14:paraId="5BF7CDD6" w14:textId="77777777" w:rsidR="006769C7" w:rsidRDefault="006769C7" w:rsidP="00E655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E96"/>
    <w:rsid w:val="000D2B56"/>
    <w:rsid w:val="000E4600"/>
    <w:rsid w:val="001D1E96"/>
    <w:rsid w:val="002813FE"/>
    <w:rsid w:val="004644FD"/>
    <w:rsid w:val="006769C7"/>
    <w:rsid w:val="007E71DC"/>
    <w:rsid w:val="00820361"/>
    <w:rsid w:val="009004F0"/>
    <w:rsid w:val="00A35D80"/>
    <w:rsid w:val="00AA03AA"/>
    <w:rsid w:val="00AB3520"/>
    <w:rsid w:val="00CC022A"/>
    <w:rsid w:val="00E655C9"/>
    <w:rsid w:val="00EF3418"/>
    <w:rsid w:val="00F765F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D1185"/>
  <w15:chartTrackingRefBased/>
  <w15:docId w15:val="{CF2A6CC2-21F3-453B-9AA1-60764C570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55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5C9"/>
  </w:style>
  <w:style w:type="paragraph" w:styleId="Footer">
    <w:name w:val="footer"/>
    <w:basedOn w:val="Normal"/>
    <w:link w:val="FooterChar"/>
    <w:uiPriority w:val="99"/>
    <w:unhideWhenUsed/>
    <w:rsid w:val="00E655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5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440</Words>
  <Characters>2510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Brown</dc:creator>
  <cp:keywords/>
  <dc:description/>
  <cp:lastModifiedBy>Alison Brown</cp:lastModifiedBy>
  <cp:revision>3</cp:revision>
  <dcterms:created xsi:type="dcterms:W3CDTF">2022-03-21T20:20:00Z</dcterms:created>
  <dcterms:modified xsi:type="dcterms:W3CDTF">2022-03-21T22:50:00Z</dcterms:modified>
</cp:coreProperties>
</file>